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FE" w:rsidRDefault="00116292">
      <w:pPr>
        <w:pStyle w:val="30"/>
        <w:framePr w:w="9533" w:h="14461" w:hRule="exact" w:wrap="none" w:vAnchor="page" w:hAnchor="page" w:x="1727" w:y="1125"/>
        <w:shd w:val="clear" w:color="auto" w:fill="auto"/>
        <w:spacing w:after="173" w:line="260" w:lineRule="exact"/>
      </w:pPr>
      <w:r>
        <w:t>«ЗАТВЕРДЖУЮ»</w:t>
      </w:r>
    </w:p>
    <w:p w:rsidR="00984DFE" w:rsidRDefault="009A2B3A" w:rsidP="009A2B3A">
      <w:pPr>
        <w:pStyle w:val="40"/>
        <w:framePr w:w="9533" w:h="14461" w:hRule="exact" w:wrap="none" w:vAnchor="page" w:hAnchor="page" w:x="1727" w:y="1125"/>
        <w:shd w:val="clear" w:color="auto" w:fill="auto"/>
        <w:spacing w:before="0" w:line="280" w:lineRule="exact"/>
        <w:ind w:firstLine="0"/>
        <w:jc w:val="right"/>
      </w:pPr>
      <w:r w:rsidRPr="009A2B3A">
        <w:rPr>
          <w:rStyle w:val="41"/>
        </w:rPr>
        <w:t xml:space="preserve">                                                                                                        Директор ДПТНЗ </w:t>
      </w:r>
      <w:r>
        <w:rPr>
          <w:rStyle w:val="41"/>
          <w:lang w:val="ru-RU"/>
        </w:rPr>
        <w:t xml:space="preserve">                        </w:t>
      </w:r>
      <w:r w:rsidRPr="009A2B3A">
        <w:rPr>
          <w:rFonts w:ascii="Times New Roman" w:hAnsi="Times New Roman" w:cs="Times New Roman"/>
        </w:rPr>
        <w:t>«Славут</w:t>
      </w:r>
      <w:r w:rsidRPr="009A2B3A">
        <w:rPr>
          <w:rFonts w:ascii="Times New Roman" w:hAnsi="Times New Roman" w:cs="Times New Roman"/>
          <w:lang w:val="ru-RU"/>
        </w:rPr>
        <w:t>с</w:t>
      </w:r>
      <w:r w:rsidR="00116292" w:rsidRPr="009A2B3A">
        <w:rPr>
          <w:rFonts w:ascii="Times New Roman" w:hAnsi="Times New Roman" w:cs="Times New Roman"/>
        </w:rPr>
        <w:t>ький професійн</w:t>
      </w:r>
      <w:r w:rsidR="00116292" w:rsidRPr="009A2B3A">
        <w:rPr>
          <w:rFonts w:ascii="Times New Roman" w:hAnsi="Times New Roman" w:cs="Times New Roman"/>
          <w:lang w:eastAsia="ru-RU" w:bidi="ru-RU"/>
        </w:rPr>
        <w:t>и</w:t>
      </w:r>
      <w:r w:rsidR="00116292" w:rsidRPr="009A2B3A">
        <w:rPr>
          <w:rFonts w:ascii="Times New Roman" w:hAnsi="Times New Roman" w:cs="Times New Roman"/>
        </w:rPr>
        <w:t>й</w:t>
      </w:r>
      <w:r w:rsidRPr="009A2B3A">
        <w:rPr>
          <w:rFonts w:ascii="Times New Roman" w:hAnsi="Times New Roman" w:cs="Times New Roman"/>
          <w:lang w:val="ru-RU"/>
        </w:rPr>
        <w:t xml:space="preserve"> </w:t>
      </w:r>
      <w:r w:rsidR="00116292" w:rsidRPr="009A2B3A">
        <w:rPr>
          <w:rFonts w:ascii="Times New Roman" w:hAnsi="Times New Roman" w:cs="Times New Roman"/>
        </w:rPr>
        <w:t>ліцей»</w:t>
      </w:r>
    </w:p>
    <w:p w:rsidR="009A2B3A" w:rsidRPr="009A2B3A" w:rsidRDefault="009A2B3A">
      <w:pPr>
        <w:pStyle w:val="50"/>
        <w:framePr w:w="9533" w:h="14461" w:hRule="exact" w:wrap="none" w:vAnchor="page" w:hAnchor="page" w:x="1727" w:y="1125"/>
        <w:shd w:val="clear" w:color="auto" w:fill="auto"/>
        <w:spacing w:before="0"/>
        <w:ind w:right="680"/>
        <w:rPr>
          <w:rFonts w:ascii="Times New Roman" w:hAnsi="Times New Roman" w:cs="Times New Roman"/>
          <w:b w:val="0"/>
          <w:i w:val="0"/>
          <w:sz w:val="28"/>
          <w:szCs w:val="28"/>
        </w:rPr>
      </w:pPr>
      <w:r>
        <w:rPr>
          <w:lang w:val="ru-RU"/>
        </w:rPr>
        <w:t xml:space="preserve">                                                                                               </w:t>
      </w:r>
      <w:r w:rsidRPr="009A2B3A">
        <w:rPr>
          <w:rFonts w:ascii="Times New Roman" w:hAnsi="Times New Roman" w:cs="Times New Roman"/>
          <w:b w:val="0"/>
          <w:i w:val="0"/>
          <w:sz w:val="28"/>
          <w:szCs w:val="28"/>
          <w:lang w:val="ru-RU"/>
        </w:rPr>
        <w:t>_____________ Н.О. Ніжнік</w:t>
      </w:r>
    </w:p>
    <w:p w:rsidR="009A2B3A" w:rsidRDefault="009A2B3A">
      <w:pPr>
        <w:pStyle w:val="50"/>
        <w:framePr w:w="9533" w:h="14461" w:hRule="exact" w:wrap="none" w:vAnchor="page" w:hAnchor="page" w:x="1727" w:y="1125"/>
        <w:shd w:val="clear" w:color="auto" w:fill="auto"/>
        <w:spacing w:before="0"/>
        <w:ind w:right="680"/>
        <w:rPr>
          <w:lang w:val="ru-RU"/>
        </w:rPr>
      </w:pPr>
    </w:p>
    <w:p w:rsidR="00984DFE" w:rsidRDefault="00116292">
      <w:pPr>
        <w:pStyle w:val="50"/>
        <w:framePr w:w="9533" w:h="14461" w:hRule="exact" w:wrap="none" w:vAnchor="page" w:hAnchor="page" w:x="1727" w:y="1125"/>
        <w:shd w:val="clear" w:color="auto" w:fill="auto"/>
        <w:spacing w:before="0"/>
        <w:ind w:right="680"/>
      </w:pPr>
      <w:r>
        <w:t>Порядок реагування на доведені випадки булінгу (цькування)</w:t>
      </w:r>
      <w:r>
        <w:br/>
      </w:r>
      <w:r>
        <w:rPr>
          <w:rStyle w:val="51"/>
          <w:b/>
          <w:bCs/>
          <w:i/>
          <w:iCs/>
        </w:rPr>
        <w:t>у</w:t>
      </w:r>
      <w:r w:rsidR="00672910">
        <w:rPr>
          <w:rStyle w:val="51"/>
          <w:b/>
          <w:bCs/>
          <w:i/>
          <w:iCs/>
        </w:rPr>
        <w:t xml:space="preserve"> </w:t>
      </w:r>
      <w:bookmarkStart w:id="0" w:name="_GoBack"/>
      <w:bookmarkEnd w:id="0"/>
      <w:r>
        <w:rPr>
          <w:rStyle w:val="51"/>
          <w:b/>
          <w:bCs/>
          <w:i/>
          <w:iCs/>
        </w:rPr>
        <w:t>ДПТНЗ</w:t>
      </w:r>
      <w:r w:rsidR="00672910">
        <w:t xml:space="preserve"> «Славутський</w:t>
      </w:r>
      <w:r>
        <w:t xml:space="preserve"> професійний ліцей»</w:t>
      </w:r>
      <w:r>
        <w:br/>
        <w:t>та відповідальність осіб, причетних до булінгу (цькування)</w:t>
      </w:r>
    </w:p>
    <w:p w:rsidR="00984DFE" w:rsidRDefault="00116292">
      <w:pPr>
        <w:pStyle w:val="30"/>
        <w:framePr w:w="9533" w:h="14461" w:hRule="exact" w:wrap="none" w:vAnchor="page" w:hAnchor="page" w:x="1727" w:y="1125"/>
        <w:shd w:val="clear" w:color="auto" w:fill="auto"/>
        <w:spacing w:after="0" w:line="485" w:lineRule="exact"/>
        <w:ind w:right="680"/>
        <w:jc w:val="center"/>
      </w:pPr>
      <w:r>
        <w:t>Порядок роботи комісії</w:t>
      </w:r>
    </w:p>
    <w:p w:rsidR="00984DFE" w:rsidRDefault="00116292">
      <w:pPr>
        <w:pStyle w:val="20"/>
        <w:framePr w:w="9533" w:h="14461" w:hRule="exact" w:wrap="none" w:vAnchor="page" w:hAnchor="page" w:x="1727" w:y="1125"/>
        <w:shd w:val="clear" w:color="auto" w:fill="auto"/>
        <w:spacing w:line="485" w:lineRule="exact"/>
        <w:ind w:firstLine="780"/>
        <w:jc w:val="both"/>
      </w:pPr>
      <w:r>
        <w:t>Метою діяльності комісії є припинення випадку булінгу в закладі освіти; відновлення та нормалізація стосунків, створення сприятливих умов для подальшого здобуття освіти; оцінка потреб сторін булінгу.</w:t>
      </w:r>
    </w:p>
    <w:p w:rsidR="00984DFE" w:rsidRDefault="00116292">
      <w:pPr>
        <w:pStyle w:val="20"/>
        <w:framePr w:w="9533" w:h="14461" w:hRule="exact" w:wrap="none" w:vAnchor="page" w:hAnchor="page" w:x="1727" w:y="1125"/>
        <w:shd w:val="clear" w:color="auto" w:fill="auto"/>
        <w:spacing w:line="485" w:lineRule="exact"/>
        <w:ind w:firstLine="780"/>
        <w:jc w:val="both"/>
      </w:pPr>
      <w:r>
        <w:t>Діяльність комісії здійснюється на принципах: законності, верховенства права, поваги та дотримання прав і свобод людини, неупередженого ставлення до сторін булінгу (цькування), відкритості та прозорості, конфіденційності та захисту персональних даних, невідкладного реагування, комплексного підходу до розгляду випадку булінгу (цькування), нетерпимості до булінгу (цькування) та визначення його суспільної небезпеки.</w:t>
      </w:r>
    </w:p>
    <w:p w:rsidR="00984DFE" w:rsidRDefault="00116292">
      <w:pPr>
        <w:pStyle w:val="20"/>
        <w:framePr w:w="9533" w:h="14461" w:hRule="exact" w:wrap="none" w:vAnchor="page" w:hAnchor="page" w:x="1727" w:y="1125"/>
        <w:shd w:val="clear" w:color="auto" w:fill="auto"/>
        <w:spacing w:line="485" w:lineRule="exact"/>
        <w:ind w:firstLine="780"/>
        <w:jc w:val="both"/>
      </w:pPr>
      <w:r>
        <w:t>Комісія у своїй діяльності забезпечує дотримання вимог Законів України «Про інформацію», «Про захист персональних даних».</w:t>
      </w:r>
    </w:p>
    <w:p w:rsidR="00984DFE" w:rsidRDefault="00116292">
      <w:pPr>
        <w:pStyle w:val="20"/>
        <w:framePr w:w="9533" w:h="14461" w:hRule="exact" w:wrap="none" w:vAnchor="page" w:hAnchor="page" w:x="1727" w:y="1125"/>
        <w:shd w:val="clear" w:color="auto" w:fill="auto"/>
        <w:spacing w:line="485" w:lineRule="exact"/>
        <w:ind w:firstLine="780"/>
        <w:jc w:val="both"/>
      </w:pPr>
      <w:r>
        <w:t>До завдань комісії належать:</w:t>
      </w:r>
    </w:p>
    <w:p w:rsidR="00984DFE" w:rsidRDefault="00116292">
      <w:pPr>
        <w:pStyle w:val="20"/>
        <w:framePr w:w="9533" w:h="14461" w:hRule="exact" w:wrap="none" w:vAnchor="page" w:hAnchor="page" w:x="1727" w:y="1125"/>
        <w:shd w:val="clear" w:color="auto" w:fill="auto"/>
        <w:spacing w:line="485" w:lineRule="exact"/>
        <w:ind w:firstLine="780"/>
        <w:jc w:val="both"/>
      </w:pPr>
      <w:r>
        <w:t>збір інформації щодо обставин випадку булінгу;</w:t>
      </w:r>
    </w:p>
    <w:p w:rsidR="00984DFE" w:rsidRDefault="00116292">
      <w:pPr>
        <w:pStyle w:val="20"/>
        <w:framePr w:w="9533" w:h="14461" w:hRule="exact" w:wrap="none" w:vAnchor="page" w:hAnchor="page" w:x="1727" w:y="1125"/>
        <w:shd w:val="clear" w:color="auto" w:fill="auto"/>
        <w:spacing w:line="485" w:lineRule="exact"/>
        <w:ind w:firstLine="780"/>
        <w:jc w:val="both"/>
      </w:pPr>
      <w:r>
        <w:t>розгляд та аналіз зібраних матеріалів;</w:t>
      </w:r>
    </w:p>
    <w:p w:rsidR="00984DFE" w:rsidRDefault="00116292">
      <w:pPr>
        <w:pStyle w:val="20"/>
        <w:framePr w:w="9533" w:h="14461" w:hRule="exact" w:wrap="none" w:vAnchor="page" w:hAnchor="page" w:x="1727" w:y="1125"/>
        <w:shd w:val="clear" w:color="auto" w:fill="auto"/>
        <w:spacing w:line="485" w:lineRule="exact"/>
        <w:ind w:firstLine="780"/>
        <w:jc w:val="both"/>
      </w:pPr>
      <w:r>
        <w:t>у разі прийняття рішення комісією про наявність обставин, що обґрунтовують інформацію, зазначену у заяві, до завдань комісії також належать: 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 визначення причин булінгу (цькування) та необхідних заходів для усунення таких причин; визначення заходів</w:t>
      </w:r>
    </w:p>
    <w:p w:rsidR="00984DFE" w:rsidRDefault="00984DFE">
      <w:pPr>
        <w:rPr>
          <w:sz w:val="2"/>
          <w:szCs w:val="2"/>
        </w:rPr>
        <w:sectPr w:rsidR="00984DFE">
          <w:pgSz w:w="11900" w:h="16840"/>
          <w:pgMar w:top="360" w:right="360" w:bottom="360" w:left="360" w:header="0" w:footer="3" w:gutter="0"/>
          <w:cols w:space="720"/>
          <w:noEndnote/>
          <w:docGrid w:linePitch="360"/>
        </w:sectPr>
      </w:pPr>
    </w:p>
    <w:p w:rsidR="00984DFE" w:rsidRDefault="00116292">
      <w:pPr>
        <w:pStyle w:val="20"/>
        <w:framePr w:w="9442" w:h="14136" w:hRule="exact" w:wrap="none" w:vAnchor="page" w:hAnchor="page" w:x="1776" w:y="912"/>
        <w:shd w:val="clear" w:color="auto" w:fill="auto"/>
        <w:spacing w:line="485" w:lineRule="exact"/>
        <w:jc w:val="both"/>
      </w:pPr>
      <w:r>
        <w:lastRenderedPageBreak/>
        <w:t>виховного впливу щодо сторін булінгу; моніторинг ефективності соціальних та психолого-педагогічних послуг, заходів з усунення причин булінгу, заходів виховного впливу та корегування; надання рекомендацій для педагогічних працівників закладу освіти</w:t>
      </w:r>
    </w:p>
    <w:p w:rsidR="00984DFE" w:rsidRDefault="00116292">
      <w:pPr>
        <w:pStyle w:val="20"/>
        <w:framePr w:w="9442" w:h="14136" w:hRule="exact" w:wrap="none" w:vAnchor="page" w:hAnchor="page" w:x="1776" w:y="912"/>
        <w:shd w:val="clear" w:color="auto" w:fill="auto"/>
        <w:spacing w:line="485" w:lineRule="exact"/>
        <w:ind w:firstLine="740"/>
        <w:jc w:val="both"/>
      </w:pPr>
      <w:r>
        <w:t>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984DFE" w:rsidRDefault="00116292">
      <w:pPr>
        <w:pStyle w:val="20"/>
        <w:framePr w:w="9442" w:h="14136" w:hRule="exact" w:wrap="none" w:vAnchor="page" w:hAnchor="page" w:x="1776" w:y="912"/>
        <w:shd w:val="clear" w:color="auto" w:fill="auto"/>
        <w:spacing w:line="485" w:lineRule="exact"/>
        <w:ind w:firstLine="740"/>
        <w:jc w:val="both"/>
      </w:pPr>
      <w:r>
        <w:t>Формою роботи комісії є засідання, які проводяться у разі потреби. Дату, час і місце проведення засідання комісії визначає її голова.</w:t>
      </w:r>
    </w:p>
    <w:p w:rsidR="00984DFE" w:rsidRDefault="00116292">
      <w:pPr>
        <w:pStyle w:val="20"/>
        <w:framePr w:w="9442" w:h="14136" w:hRule="exact" w:wrap="none" w:vAnchor="page" w:hAnchor="page" w:x="1776" w:y="912"/>
        <w:shd w:val="clear" w:color="auto" w:fill="auto"/>
        <w:spacing w:line="485" w:lineRule="exact"/>
        <w:ind w:firstLine="740"/>
        <w:jc w:val="both"/>
      </w:pPr>
      <w:r>
        <w:t>Засідання комісії є правоможним у разі участі в ньому не менше як двох третин її складу.</w:t>
      </w:r>
    </w:p>
    <w:p w:rsidR="00984DFE" w:rsidRDefault="00116292">
      <w:pPr>
        <w:pStyle w:val="20"/>
        <w:framePr w:w="9442" w:h="14136" w:hRule="exact" w:wrap="none" w:vAnchor="page" w:hAnchor="page" w:x="1776" w:y="912"/>
        <w:shd w:val="clear" w:color="auto" w:fill="auto"/>
        <w:spacing w:line="485" w:lineRule="exact"/>
        <w:ind w:firstLine="740"/>
        <w:jc w:val="both"/>
      </w:pPr>
      <w:r>
        <w:t>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984DFE" w:rsidRDefault="00116292">
      <w:pPr>
        <w:pStyle w:val="20"/>
        <w:framePr w:w="9442" w:h="14136" w:hRule="exact" w:wrap="none" w:vAnchor="page" w:hAnchor="page" w:x="1776" w:y="912"/>
        <w:shd w:val="clear" w:color="auto" w:fill="auto"/>
        <w:spacing w:line="485" w:lineRule="exact"/>
        <w:ind w:firstLine="740"/>
        <w:jc w:val="both"/>
      </w:pPr>
      <w:r>
        <w:t>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984DFE" w:rsidRDefault="00116292">
      <w:pPr>
        <w:pStyle w:val="20"/>
        <w:framePr w:w="9442" w:h="14136" w:hRule="exact" w:wrap="none" w:vAnchor="page" w:hAnchor="page" w:x="1776" w:y="912"/>
        <w:shd w:val="clear" w:color="auto" w:fill="auto"/>
        <w:spacing w:line="485" w:lineRule="exact"/>
        <w:ind w:firstLine="740"/>
        <w:jc w:val="both"/>
      </w:pPr>
      <w:r>
        <w:t>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984DFE" w:rsidRDefault="00116292">
      <w:pPr>
        <w:pStyle w:val="20"/>
        <w:framePr w:w="9442" w:h="14136" w:hRule="exact" w:wrap="none" w:vAnchor="page" w:hAnchor="page" w:x="1776" w:y="912"/>
        <w:shd w:val="clear" w:color="auto" w:fill="auto"/>
        <w:spacing w:line="485" w:lineRule="exact"/>
        <w:ind w:firstLine="740"/>
        <w:jc w:val="both"/>
      </w:pPr>
      <w: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984DFE" w:rsidRDefault="00984DFE">
      <w:pPr>
        <w:rPr>
          <w:sz w:val="2"/>
          <w:szCs w:val="2"/>
        </w:rPr>
        <w:sectPr w:rsidR="00984DFE">
          <w:pgSz w:w="11900" w:h="16840"/>
          <w:pgMar w:top="360" w:right="360" w:bottom="360" w:left="360" w:header="0" w:footer="3" w:gutter="0"/>
          <w:cols w:space="720"/>
          <w:noEndnote/>
          <w:docGrid w:linePitch="360"/>
        </w:sectPr>
      </w:pPr>
    </w:p>
    <w:p w:rsidR="00984DFE" w:rsidRDefault="00116292">
      <w:pPr>
        <w:pStyle w:val="20"/>
        <w:framePr w:w="9437" w:h="10276" w:hRule="exact" w:wrap="none" w:vAnchor="page" w:hAnchor="page" w:x="1812" w:y="884"/>
        <w:shd w:val="clear" w:color="auto" w:fill="auto"/>
        <w:spacing w:line="509" w:lineRule="exact"/>
        <w:ind w:firstLine="740"/>
        <w:jc w:val="both"/>
      </w:pPr>
      <w:r>
        <w:lastRenderedPageBreak/>
        <w:t>Особи, залучені до участі в засіданні комісії, під час засідання комісії мають право:</w:t>
      </w:r>
    </w:p>
    <w:p w:rsidR="00984DFE" w:rsidRDefault="00116292">
      <w:pPr>
        <w:pStyle w:val="20"/>
        <w:framePr w:w="9437" w:h="10276" w:hRule="exact" w:wrap="none" w:vAnchor="page" w:hAnchor="page" w:x="1812" w:y="884"/>
        <w:shd w:val="clear" w:color="auto" w:fill="auto"/>
        <w:spacing w:line="490" w:lineRule="exact"/>
        <w:ind w:firstLine="740"/>
        <w:jc w:val="both"/>
      </w:pPr>
      <w:r>
        <w:t>ознайомлюватися з матеріалами, поданими на розгляд комісії;</w:t>
      </w:r>
    </w:p>
    <w:p w:rsidR="00984DFE" w:rsidRDefault="00116292">
      <w:pPr>
        <w:pStyle w:val="20"/>
        <w:framePr w:w="9437" w:h="10276" w:hRule="exact" w:wrap="none" w:vAnchor="page" w:hAnchor="page" w:x="1812" w:y="884"/>
        <w:shd w:val="clear" w:color="auto" w:fill="auto"/>
        <w:spacing w:line="490" w:lineRule="exact"/>
        <w:ind w:firstLine="740"/>
        <w:jc w:val="both"/>
      </w:pPr>
      <w:r>
        <w:t>ставити питання по суті розгляду;</w:t>
      </w:r>
    </w:p>
    <w:p w:rsidR="00984DFE" w:rsidRDefault="00116292">
      <w:pPr>
        <w:pStyle w:val="20"/>
        <w:framePr w:w="9437" w:h="10276" w:hRule="exact" w:wrap="none" w:vAnchor="page" w:hAnchor="page" w:x="1812" w:y="884"/>
        <w:shd w:val="clear" w:color="auto" w:fill="auto"/>
        <w:spacing w:line="490" w:lineRule="exact"/>
        <w:ind w:firstLine="740"/>
        <w:jc w:val="both"/>
      </w:pPr>
      <w:r>
        <w:t>подавати пропозиції, висловлювати власну думку з питань, що розглядаються.</w:t>
      </w:r>
    </w:p>
    <w:p w:rsidR="00984DFE" w:rsidRDefault="00116292">
      <w:pPr>
        <w:pStyle w:val="20"/>
        <w:framePr w:w="9437" w:h="10276" w:hRule="exact" w:wrap="none" w:vAnchor="page" w:hAnchor="page" w:x="1812" w:y="884"/>
        <w:shd w:val="clear" w:color="auto" w:fill="auto"/>
        <w:spacing w:line="485" w:lineRule="exact"/>
        <w:ind w:firstLine="740"/>
        <w:jc w:val="both"/>
      </w:pPr>
      <w:r>
        <w:t>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984DFE" w:rsidRDefault="00116292">
      <w:pPr>
        <w:pStyle w:val="20"/>
        <w:framePr w:w="9437" w:h="10276" w:hRule="exact" w:wrap="none" w:vAnchor="page" w:hAnchor="page" w:x="1812" w:y="884"/>
        <w:shd w:val="clear" w:color="auto" w:fill="auto"/>
        <w:spacing w:line="485" w:lineRule="exact"/>
        <w:ind w:firstLine="740"/>
        <w:jc w:val="both"/>
      </w:pPr>
      <w:r>
        <w:t>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984DFE" w:rsidRDefault="00116292">
      <w:pPr>
        <w:pStyle w:val="20"/>
        <w:framePr w:w="9437" w:h="10276" w:hRule="exact" w:wrap="none" w:vAnchor="page" w:hAnchor="page" w:x="1812" w:y="884"/>
        <w:shd w:val="clear" w:color="auto" w:fill="auto"/>
        <w:spacing w:line="485" w:lineRule="exact"/>
        <w:ind w:firstLine="740"/>
        <w:jc w:val="both"/>
      </w:pPr>
      <w:r>
        <w:t>Принагідно інформуємо, що відповідно до наказу Міністерства внутрішніх справ України «Про затвердження Змін до Інструкції з організації роботи підрозділів ювенальної превенції Національної поліції України» від 25.06.2020 № 488, зареєстрованого в Міністерстві юстиції України 03 серпня 2020 року № 738/35021, дитина, яка вчинила булінг (цькування) учасника освітнього процесу підлягає взяттю на профілактичний облік з метою здійснення заходів індивідуальної профілактики поліцейськими підрозділами ювенальної превенції.</w:t>
      </w:r>
    </w:p>
    <w:p w:rsidR="00984DFE" w:rsidRDefault="00984DFE">
      <w:pPr>
        <w:rPr>
          <w:sz w:val="2"/>
          <w:szCs w:val="2"/>
        </w:rPr>
      </w:pPr>
    </w:p>
    <w:sectPr w:rsidR="00984DFE" w:rsidSect="00984DF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51D" w:rsidRDefault="0070751D" w:rsidP="00984DFE">
      <w:r>
        <w:separator/>
      </w:r>
    </w:p>
  </w:endnote>
  <w:endnote w:type="continuationSeparator" w:id="0">
    <w:p w:rsidR="0070751D" w:rsidRDefault="0070751D" w:rsidP="0098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51D" w:rsidRDefault="0070751D"/>
  </w:footnote>
  <w:footnote w:type="continuationSeparator" w:id="0">
    <w:p w:rsidR="0070751D" w:rsidRDefault="007075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84DFE"/>
    <w:rsid w:val="00116292"/>
    <w:rsid w:val="00672910"/>
    <w:rsid w:val="0070751D"/>
    <w:rsid w:val="00984DFE"/>
    <w:rsid w:val="009A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296E3-295D-49E3-A80B-B5352C10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84DF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4DFE"/>
    <w:rPr>
      <w:color w:val="0066CC"/>
      <w:u w:val="single"/>
    </w:rPr>
  </w:style>
  <w:style w:type="character" w:customStyle="1" w:styleId="3">
    <w:name w:val="Основной текст (3)_"/>
    <w:basedOn w:val="a0"/>
    <w:link w:val="30"/>
    <w:rsid w:val="00984DFE"/>
    <w:rPr>
      <w:rFonts w:ascii="Cambria" w:eastAsia="Cambria" w:hAnsi="Cambria" w:cs="Cambria"/>
      <w:b/>
      <w:bCs/>
      <w:i w:val="0"/>
      <w:iCs w:val="0"/>
      <w:smallCaps w:val="0"/>
      <w:strike w:val="0"/>
      <w:sz w:val="26"/>
      <w:szCs w:val="26"/>
      <w:u w:val="none"/>
    </w:rPr>
  </w:style>
  <w:style w:type="character" w:customStyle="1" w:styleId="4">
    <w:name w:val="Основной текст (4)_"/>
    <w:basedOn w:val="a0"/>
    <w:link w:val="40"/>
    <w:rsid w:val="00984DFE"/>
    <w:rPr>
      <w:rFonts w:ascii="Cambria" w:eastAsia="Cambria" w:hAnsi="Cambria" w:cs="Cambria"/>
      <w:b w:val="0"/>
      <w:bCs w:val="0"/>
      <w:i w:val="0"/>
      <w:iCs w:val="0"/>
      <w:smallCaps w:val="0"/>
      <w:strike w:val="0"/>
      <w:spacing w:val="0"/>
      <w:sz w:val="28"/>
      <w:szCs w:val="28"/>
      <w:u w:val="none"/>
    </w:rPr>
  </w:style>
  <w:style w:type="character" w:customStyle="1" w:styleId="41">
    <w:name w:val="Основной текст (4)"/>
    <w:basedOn w:val="4"/>
    <w:rsid w:val="00984DFE"/>
    <w:rPr>
      <w:rFonts w:ascii="Cambria" w:eastAsia="Cambria" w:hAnsi="Cambria" w:cs="Cambria"/>
      <w:b w:val="0"/>
      <w:bCs w:val="0"/>
      <w:i w:val="0"/>
      <w:iCs w:val="0"/>
      <w:smallCaps w:val="0"/>
      <w:strike w:val="0"/>
      <w:color w:val="000000"/>
      <w:spacing w:val="0"/>
      <w:w w:val="100"/>
      <w:position w:val="0"/>
      <w:sz w:val="28"/>
      <w:szCs w:val="28"/>
      <w:u w:val="none"/>
      <w:lang w:val="uk-UA" w:eastAsia="uk-UA" w:bidi="uk-UA"/>
    </w:rPr>
  </w:style>
  <w:style w:type="character" w:customStyle="1" w:styleId="2">
    <w:name w:val="Основной текст (2)_"/>
    <w:basedOn w:val="a0"/>
    <w:link w:val="20"/>
    <w:rsid w:val="00984DFE"/>
    <w:rPr>
      <w:rFonts w:ascii="Cambria" w:eastAsia="Cambria" w:hAnsi="Cambria" w:cs="Cambria"/>
      <w:b w:val="0"/>
      <w:bCs w:val="0"/>
      <w:i w:val="0"/>
      <w:iCs w:val="0"/>
      <w:smallCaps w:val="0"/>
      <w:strike w:val="0"/>
      <w:u w:val="none"/>
    </w:rPr>
  </w:style>
  <w:style w:type="character" w:customStyle="1" w:styleId="21">
    <w:name w:val="Основной текст (2)"/>
    <w:basedOn w:val="2"/>
    <w:rsid w:val="00984DFE"/>
    <w:rPr>
      <w:rFonts w:ascii="Cambria" w:eastAsia="Cambria" w:hAnsi="Cambria" w:cs="Cambria"/>
      <w:b w:val="0"/>
      <w:bCs w:val="0"/>
      <w:i w:val="0"/>
      <w:iCs w:val="0"/>
      <w:smallCaps w:val="0"/>
      <w:strike w:val="0"/>
      <w:color w:val="000000"/>
      <w:spacing w:val="0"/>
      <w:w w:val="100"/>
      <w:position w:val="0"/>
      <w:sz w:val="24"/>
      <w:szCs w:val="24"/>
      <w:u w:val="none"/>
      <w:lang w:val="uk-UA" w:eastAsia="uk-UA" w:bidi="uk-UA"/>
    </w:rPr>
  </w:style>
  <w:style w:type="character" w:customStyle="1" w:styleId="22">
    <w:name w:val="Основной текст (2) + Курсив"/>
    <w:basedOn w:val="2"/>
    <w:rsid w:val="00984DFE"/>
    <w:rPr>
      <w:rFonts w:ascii="Cambria" w:eastAsia="Cambria" w:hAnsi="Cambria" w:cs="Cambria"/>
      <w:b w:val="0"/>
      <w:bCs w:val="0"/>
      <w:i/>
      <w:iCs/>
      <w:smallCaps w:val="0"/>
      <w:strike w:val="0"/>
      <w:color w:val="000000"/>
      <w:spacing w:val="0"/>
      <w:w w:val="100"/>
      <w:position w:val="0"/>
      <w:sz w:val="24"/>
      <w:szCs w:val="24"/>
      <w:u w:val="none"/>
      <w:lang w:val="uk-UA" w:eastAsia="uk-UA" w:bidi="uk-UA"/>
    </w:rPr>
  </w:style>
  <w:style w:type="character" w:customStyle="1" w:styleId="5">
    <w:name w:val="Основной текст (5)_"/>
    <w:basedOn w:val="a0"/>
    <w:link w:val="50"/>
    <w:rsid w:val="00984DFE"/>
    <w:rPr>
      <w:rFonts w:ascii="Cambria" w:eastAsia="Cambria" w:hAnsi="Cambria" w:cs="Cambria"/>
      <w:b/>
      <w:bCs/>
      <w:i/>
      <w:iCs/>
      <w:smallCaps w:val="0"/>
      <w:strike w:val="0"/>
      <w:sz w:val="24"/>
      <w:szCs w:val="24"/>
      <w:u w:val="none"/>
    </w:rPr>
  </w:style>
  <w:style w:type="character" w:customStyle="1" w:styleId="51">
    <w:name w:val="Основной текст (5)"/>
    <w:basedOn w:val="5"/>
    <w:rsid w:val="00984DFE"/>
    <w:rPr>
      <w:rFonts w:ascii="Cambria" w:eastAsia="Cambria" w:hAnsi="Cambria" w:cs="Cambria"/>
      <w:b/>
      <w:bCs/>
      <w:i/>
      <w:iCs/>
      <w:smallCaps w:val="0"/>
      <w:strike w:val="0"/>
      <w:color w:val="000000"/>
      <w:spacing w:val="0"/>
      <w:w w:val="100"/>
      <w:position w:val="0"/>
      <w:sz w:val="24"/>
      <w:szCs w:val="24"/>
      <w:u w:val="none"/>
      <w:lang w:val="uk-UA" w:eastAsia="uk-UA" w:bidi="uk-UA"/>
    </w:rPr>
  </w:style>
  <w:style w:type="paragraph" w:customStyle="1" w:styleId="30">
    <w:name w:val="Основной текст (3)"/>
    <w:basedOn w:val="a"/>
    <w:link w:val="3"/>
    <w:rsid w:val="00984DFE"/>
    <w:pPr>
      <w:shd w:val="clear" w:color="auto" w:fill="FFFFFF"/>
      <w:spacing w:after="60" w:line="0" w:lineRule="atLeast"/>
      <w:jc w:val="right"/>
    </w:pPr>
    <w:rPr>
      <w:rFonts w:ascii="Cambria" w:eastAsia="Cambria" w:hAnsi="Cambria" w:cs="Cambria"/>
      <w:b/>
      <w:bCs/>
      <w:sz w:val="26"/>
      <w:szCs w:val="26"/>
    </w:rPr>
  </w:style>
  <w:style w:type="paragraph" w:customStyle="1" w:styleId="40">
    <w:name w:val="Основной текст (4)"/>
    <w:basedOn w:val="a"/>
    <w:link w:val="4"/>
    <w:rsid w:val="00984DFE"/>
    <w:pPr>
      <w:shd w:val="clear" w:color="auto" w:fill="FFFFFF"/>
      <w:spacing w:before="60" w:line="0" w:lineRule="atLeast"/>
      <w:ind w:firstLine="160"/>
    </w:pPr>
    <w:rPr>
      <w:rFonts w:ascii="Cambria" w:eastAsia="Cambria" w:hAnsi="Cambria" w:cs="Cambria"/>
      <w:sz w:val="28"/>
      <w:szCs w:val="28"/>
    </w:rPr>
  </w:style>
  <w:style w:type="paragraph" w:customStyle="1" w:styleId="20">
    <w:name w:val="Основной текст (2)"/>
    <w:basedOn w:val="a"/>
    <w:link w:val="2"/>
    <w:rsid w:val="00984DFE"/>
    <w:pPr>
      <w:shd w:val="clear" w:color="auto" w:fill="FFFFFF"/>
      <w:spacing w:line="317" w:lineRule="exact"/>
    </w:pPr>
    <w:rPr>
      <w:rFonts w:ascii="Cambria" w:eastAsia="Cambria" w:hAnsi="Cambria" w:cs="Cambria"/>
    </w:rPr>
  </w:style>
  <w:style w:type="paragraph" w:customStyle="1" w:styleId="50">
    <w:name w:val="Основной текст (5)"/>
    <w:basedOn w:val="a"/>
    <w:link w:val="5"/>
    <w:rsid w:val="00984DFE"/>
    <w:pPr>
      <w:shd w:val="clear" w:color="auto" w:fill="FFFFFF"/>
      <w:spacing w:before="300" w:line="485" w:lineRule="exact"/>
      <w:jc w:val="center"/>
    </w:pPr>
    <w:rPr>
      <w:rFonts w:ascii="Cambria" w:eastAsia="Cambria" w:hAnsi="Cambria" w:cs="Cambri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731</Words>
  <Characters>4171</Characters>
  <Application>Microsoft Office Word</Application>
  <DocSecurity>0</DocSecurity>
  <Lines>34</Lines>
  <Paragraphs>9</Paragraphs>
  <ScaleCrop>false</ScaleCrop>
  <Company>Reanimator Extreme Edition</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2021-11-01T06:23:00Z</dcterms:created>
  <dcterms:modified xsi:type="dcterms:W3CDTF">2021-11-15T21:35:00Z</dcterms:modified>
</cp:coreProperties>
</file>